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3"/>
        <w:gridCol w:w="826"/>
        <w:gridCol w:w="389"/>
        <w:gridCol w:w="417"/>
        <w:gridCol w:w="1885"/>
        <w:gridCol w:w="1912"/>
        <w:gridCol w:w="214"/>
        <w:gridCol w:w="1085"/>
        <w:gridCol w:w="1394"/>
        <w:gridCol w:w="167"/>
        <w:gridCol w:w="78"/>
        <w:gridCol w:w="106"/>
        <w:gridCol w:w="825"/>
        <w:gridCol w:w="261"/>
        <w:gridCol w:w="234"/>
        <w:gridCol w:w="95"/>
      </w:tblGrid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8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1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9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8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9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8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</w:tbl>
    <w:tbl>
      <w:tblPr>
        <w:tblStyle w:val="100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>
        <w:tblPrEx/>
        <w:trPr/>
        <w:tc>
          <w:tcPr>
            <w:tcW w:w="1951" w:type="dxa"/>
            <w:textDirection w:val="lrTb"/>
            <w:noWrap w:val="false"/>
          </w:tcPr>
          <w:p>
            <w:pPr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  <w:tc>
          <w:tcPr>
            <w:tcW w:w="7620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Автономная некоммерческая образовательная организация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 xml:space="preserve">высшего образования Центросоюза Российской Федерации</w:t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</w:r>
          </w:p>
          <w:p>
            <w:pPr>
              <w:jc w:val="center"/>
              <w:widowControl w:val="off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«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Сибирский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университет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потребительской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кооперации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»</w:t>
            </w:r>
            <w:r>
              <w:rPr>
                <w:sz w:val="24"/>
                <w:szCs w:val="24"/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434"/>
        <w:gridCol w:w="465"/>
        <w:gridCol w:w="1866"/>
        <w:gridCol w:w="1893"/>
        <w:gridCol w:w="212"/>
        <w:gridCol w:w="1077"/>
        <w:gridCol w:w="1384"/>
        <w:gridCol w:w="166"/>
        <w:gridCol w:w="77"/>
        <w:gridCol w:w="105"/>
        <w:gridCol w:w="814"/>
        <w:gridCol w:w="256"/>
        <w:gridCol w:w="230"/>
        <w:gridCol w:w="93"/>
      </w:tblGrid>
      <w:tr>
        <w:tblPrEx/>
        <w:trPr>
          <w:trHeight w:val="75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4"/>
            <w:tcW w:w="1749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9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7"/>
            <w:tcW w:w="38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87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УТВЕРЖДАЮ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6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9"/>
            <w:tcW w:w="432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1"/>
            </w:tblGrid>
            <w:tr>
              <w:tblPrEx/>
              <w:trPr>
                <w:trHeight w:val="293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6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философии и истории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О. А. Гербер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37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46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60"/>
            </w:tblGrid>
            <w:tr>
              <w:tblPrEx/>
              <w:trPr>
                <w:trHeight w:val="373"/>
              </w:trPr>
              <w:tc>
                <w:tcPr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6" w:type="dxa"/>
                  <w:textDirection w:val="lrTb"/>
                  <w:noWrap w:val="false"/>
                </w:tcPr>
                <w:p>
                  <w:r>
                    <w:rPr>
                      <w:lang w:val="ru-RU" w:eastAsia="ru-RU"/>
                    </w:rPr>
                    <mc:AlternateContent>
                      <mc:Choice Requires="wpg">
                        <w:drawing>
                          <wp:inline xmlns:wp="http://schemas.openxmlformats.org/drawingml/2006/wordprocessingDrawing" distT="0" distB="0" distL="0" distR="0">
                            <wp:extent cx="795131" cy="652007"/>
                            <wp:effectExtent l="0" t="0" r="5080" b="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  <pic:nvPr/>
                                  </pic:nvPicPr>
                                  <pic:blipFill>
                                    <a:blip r:embed="rId11"/>
                                    <a:srcRect l="48871" t="29064" r="37740" b="50739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95383" cy="652214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62.61pt;height:51.34pt;mso-wrap-distance-left:0.00pt;mso-wrap-distance-top:0.00pt;mso-wrap-distance-right:0.00pt;mso-wrap-distance-bottom:0.00pt;" stroked="f">
                            <v:path textboxrect="0,0,0,0"/>
                            <v:imagedata r:id="rId11" o:title=""/>
                          </v:shape>
                        </w:pict>
                      </mc:Fallback>
                    </mc:AlternateConten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86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8"/>
            <w:tcW w:w="71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РАБОЧАЯ ПРОГРАММА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Основы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российской</w:t>
                  </w:r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r>
                    <w:rPr>
                      <w:b/>
                      <w:color w:val="000000"/>
                      <w:sz w:val="32"/>
                    </w:rPr>
                    <w:t xml:space="preserve">государственности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Направление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подготовки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06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500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4"/>
            <w:tcW w:w="9599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>
              <w:tblPrEx/>
              <w:trPr>
                <w:trHeight w:val="420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Прикладная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r>
                    <w:rPr>
                      <w:color w:val="000000"/>
                      <w:sz w:val="32"/>
                    </w:rPr>
                    <w:t xml:space="preserve">информатика</w:t>
                  </w:r>
                  <w:r/>
                </w:p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9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Направленность (профиль): «Прикладная информатика в информационной сфере»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32"/>
                    </w:rPr>
                    <w:t xml:space="preserve">Квалификация</w:t>
                  </w:r>
                  <w:r>
                    <w:rPr>
                      <w:color w:val="000000"/>
                      <w:sz w:val="32"/>
                    </w:rPr>
                    <w:t xml:space="preserve">: </w:t>
                  </w:r>
                  <w:r>
                    <w:rPr>
                      <w:color w:val="000000"/>
                      <w:sz w:val="32"/>
                    </w:rPr>
                    <w:t xml:space="preserve">Бакалавр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13"/>
            <w:tcW w:w="957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566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2 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з.е</w:t>
                  </w:r>
                  <w:r>
                    <w:rPr>
                      <w:color w:val="000000"/>
                      <w:sz w:val="32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  <w:r>
                    <w:rPr>
                      <w:color w:val="000000"/>
                      <w:sz w:val="32"/>
                      <w:lang w:val="ru-RU"/>
                    </w:rPr>
                  </w:r>
                </w:p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Год начала подготовки: 2022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02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8"/>
            <w:tcW w:w="714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</w:rPr>
                    <w:t xml:space="preserve">Новосибирск</w:t>
                  </w:r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6</w:t>
                  </w:r>
                  <w:r>
                    <w:rPr>
                      <w:sz w:val="28"/>
                      <w:szCs w:val="28"/>
                      <w:lang w:val="ru-RU"/>
                    </w:rPr>
                  </w:r>
                  <w:r>
                    <w:rPr>
                      <w:sz w:val="28"/>
                      <w:szCs w:val="28"/>
                      <w:lang w:val="ru-RU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80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2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3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6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8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8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6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0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81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6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</w:tbl>
    <w:p>
      <w:r/>
      <w:bookmarkStart w:id="0" w:name="_GoBack"/>
      <w:r/>
      <w:bookmarkEnd w:id="0"/>
      <w:r/>
      <w:r/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370"/>
        <w:gridCol w:w="3212"/>
        <w:gridCol w:w="2503"/>
        <w:gridCol w:w="425"/>
        <w:gridCol w:w="283"/>
      </w:tblGrid>
      <w:tr>
        <w:tblPrEx/>
        <w:trPr>
          <w:trHeight w:val="179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8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133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АВТОР</w:t>
                  </w:r>
                  <w:r/>
                </w:p>
              </w:tc>
            </w:tr>
          </w:tbl>
          <w:p>
            <w:r/>
            <w:r/>
          </w:p>
        </w:tc>
        <w:tc>
          <w:tcPr>
            <w:gridSpan w:val="4"/>
            <w:tcW w:w="807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807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И. В. Ливанова,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полит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аук, доцент, кафедра философии и истории; 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210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2"/>
            <w:tcW w:w="212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125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РЕЦЕНЗЕНТ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Гербер О.А., канд.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ист.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наук, доцент, зав.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кафедрой философии и ист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рии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 xml:space="preserve">РЕКОМЕНДОВАНО К ИСПОЛЬЗОВАНИЮ В УЧЕБНОМ ПРОЦЕССЕ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на заседании кафедры философии и истории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5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протокол от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27.05.2026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г. №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8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474"/>
        </w:trPr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4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3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37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3212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>
              <w:tblPrEx/>
              <w:trPr>
                <w:trHeight w:val="61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212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50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425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br w:type="page" w:clear="all"/>
      </w:r>
      <w:r>
        <w:rPr>
          <w:lang w:val="ru-RU"/>
        </w:rPr>
      </w:r>
      <w:r>
        <w:rPr>
          <w:lang w:val="ru-RU"/>
        </w:rPr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"/>
        <w:gridCol w:w="23"/>
        <w:gridCol w:w="6"/>
        <w:gridCol w:w="1240"/>
        <w:gridCol w:w="7156"/>
        <w:gridCol w:w="1143"/>
        <w:gridCol w:w="72"/>
        <w:gridCol w:w="23"/>
        <w:gridCol w:w="283"/>
      </w:tblGrid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715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1. ЦЕЛЬ ОСВОЕНИЯ ДИСЦИПЛИНЫ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Целью освоения дисциплины «Основы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российской государственности» является формирование у обучающихся системы знаний, умений и компетенций, а также ценностей, правил и норм поведения, связанных с осознанием принадлежности к российскому обществу, развитием чувства патриотизма и гражданственн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ости, формированием духовно-нравственного и культурного фундамента развитой и цельной личности, осознающей особенности исторического пути российского государства, самобытность его политической организации и сопряжение индивидуального достоинства и успеха 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общественным прогрессом и политической стабильностью своей Родины.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Реализация курса предполагает последовательное освоение обучающимися знаний, представлений, научных концепций, а также историче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ских, культурологических, социологических и иных данных, связанных с проблематикой развития российской цивилизации и её государственности в исторической ретроспективе и в условиях актуальных вызовов политической, экономической, техногенной и иной природы.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 Задачи освоения дисциплины "Основы российской государственности":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представить историю России в её непрерывном цивилизационном измерении, отразить её наиболее значимые особенности, принципы и актуальные ориентиры;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раскрыть ценностно-поведенческое содержание чувства гражданственности и патриотизма, неотделимого от развитого критического мышления, свободного развития личности и способности независимого суждения об актуальном политико-культурном контексте;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рассмотреть фунда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ментальные достижения, изобретения, открытия и свершения, связанные с развитием русской земли и российской цивилизации, представить их в актуальной и значимой перспективе, воспитывающей в гражданине гордость и сопричастность своей культуре и своему народу;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представить ключевые смыслы, этические и мировоззренческие доктрины, сложившиеся внутри российской цивилизации и отражающие её многонациональный, многоконфессиональный и солидарный (общинный) характер;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рассмотреть особенности современной политической организации российского общества, каузальную природу и специфику его актуальной трансформации, ценностное обеспечение традиционных институциональных решений и особую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поливариантность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взаимоотношений российского государства и общества в федеративном измерении;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исследовать наиболее вероятные внешние и внутренние вызовы, стоящие перед лицом российской цивилизации и её государственностью в настоящий момент, обозначить ключевые сценарии её перспективного развития;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- обозначить фундаментальные ценностные принципы (константы) российской цивилизации (единство многообразия, сила и ответственность,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согласие и сотрудничество, любовь и доверие, созидание и развитие), а также связанные между собой ценностные ориентиры российского цивилизационного развития.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ОБУЧЕНИЯ ПО ДИСЦИПЛИНЕ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, СООТНЕСЕННЫЕ С РЕЗУЛЬТАТАМИ ОСВОЕНИЯ ОБРАЗОВАТЕЛЬНОЙ ПРОГРАММЫ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7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3"/>
            <w:tcW w:w="9541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2"/>
              <w:gridCol w:w="2632"/>
              <w:gridCol w:w="4425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Результаты освоения ООП: код и формулировка компетенции (в соответствии с учебным планом) или ее части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Код и формулировка индикатора достижения компетенций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Планируемые результаты обучения по дисциплине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restart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УК-5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Способен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воспринимать межкультурное разнообразие общества в социально-историческом, этическом и философском контекстах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УК-5.5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Д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емонстрирует толерантное восприятие социальных и культурных различий, уважительное и бережное отношение к историческому наследию и культурным традициям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закономерности, этапы, события и процессы культурно-исторического развития общества.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адекватно воспринимать социальные и культурные различия, толерантно, уважительно и бережно относиться к историческому наследию и культурным традициям.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УК-5.6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Н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аходит и использует необходимую для саморазвития и взаимодействия с другими людьми информацию о культурных особенностях и традициях различных социальных групп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культурные особенности и традиции различных социальных групп.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находить и использовать для саморазвития и взаимодействия с другими людьми информацию о культурных особенностях и традициях разных социальных групп.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УК-5.7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роявляет в своем поведении уважительное отношение к историческому наследию и социокультурным традициям различных социальных групп, опирающееся на знания этапов исторического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развития России в контексте мировой истории и культурных традиций мира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этапы исторического развития России в контексте мировой истории и культурных традиций мира.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проявлять в своём поведении уважительное отношение к историческому наследию и социокультурным традициям 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67" w:type="dxa"/>
                  <w:vMerge w:val="continue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63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УК-5.8 Сознательно выбирает ценностные ориентиры и гражданскую позицию; аргументировано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обсуждает и решает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проблемы мировоззренческого, общественного и личностного характера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439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фундаментальные ценностные принципы и ориентиры российской цивилизации.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 xml:space="preserve">Умеет: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-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сознательно выбирать ценностные ориентиры и гражданскую позицию, формировать аргументированные суждения, решать проблемы мировоззренческого, общественного и личностного характера.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59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3. МЕСТО ДИСЦИПЛИНЫ В СТРУКТУРЕ ОБРАЗОВАТЕЛЬНОЙ ПРОГРАММЫ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"Основы российской государственности" относится к обязательной части учебного плана подготовки бакалавра по направлению подготовки 09.03.03 Прикладная информатика.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"Основы российской государственности" базируется на знаниях и умениях, полученных при изучении школьных предметов "История" и "Обществознание".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Освоение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дисциплины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необходимо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как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предшествующее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при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изучении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дисциплины</w:t>
                  </w:r>
                  <w:r>
                    <w:rPr>
                      <w:color w:val="000000"/>
                      <w:sz w:val="28"/>
                    </w:rPr>
                    <w:t xml:space="preserve"> "</w:t>
                  </w:r>
                  <w:r>
                    <w:rPr>
                      <w:color w:val="000000"/>
                      <w:sz w:val="28"/>
                    </w:rPr>
                    <w:t xml:space="preserve">Философия</w:t>
                  </w:r>
                  <w:r>
                    <w:rPr>
                      <w:color w:val="000000"/>
                      <w:sz w:val="28"/>
                    </w:rPr>
                    <w:t xml:space="preserve">".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03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 xml:space="preserve">ПО ФОРМАМ И СРОКАМ ОБУЧЕНИЯ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r>
                    <w:rPr>
                      <w:b/>
                      <w:color w:val="000000"/>
                      <w:sz w:val="28"/>
                    </w:rPr>
                    <w:t xml:space="preserve">семестр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1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12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3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r>
                    <w:rPr>
                      <w:b/>
                      <w:color w:val="000000"/>
                      <w:sz w:val="28"/>
                    </w:rPr>
                    <w:t xml:space="preserve">курс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23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6"/>
              <w:gridCol w:w="3394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Вид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Часов</w:t>
                  </w:r>
                  <w:r>
                    <w:rPr>
                      <w:color w:val="000000"/>
                      <w:sz w:val="28"/>
                    </w:rPr>
                    <w:t xml:space="preserve"> по </w:t>
                  </w:r>
                  <w:r>
                    <w:rPr>
                      <w:color w:val="000000"/>
                      <w:sz w:val="28"/>
                    </w:rPr>
                    <w:t xml:space="preserve">учебному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плану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Контактная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 с </w:t>
                  </w:r>
                  <w:r>
                    <w:rPr>
                      <w:color w:val="000000"/>
                      <w:sz w:val="28"/>
                    </w:rPr>
                    <w:t xml:space="preserve">преподавателем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24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-занятия лекционного типа,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занятия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семинарского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типа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семинарские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/практические, в том числе: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14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-</w:t>
                  </w:r>
                  <w:r>
                    <w:rPr>
                      <w:color w:val="000000"/>
                      <w:sz w:val="28"/>
                    </w:rPr>
                    <w:t xml:space="preserve">лабораторные</w:t>
                  </w:r>
                  <w:r>
                    <w:rPr>
                      <w:color w:val="000000"/>
                      <w:sz w:val="28"/>
                    </w:rPr>
                    <w:t xml:space="preserve">, в </w:t>
                  </w:r>
                  <w:r>
                    <w:rPr>
                      <w:color w:val="000000"/>
                      <w:sz w:val="28"/>
                    </w:rPr>
                    <w:t xml:space="preserve">том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числе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r>
                    <w:rPr>
                      <w:color w:val="000000"/>
                      <w:sz w:val="28"/>
                    </w:rPr>
                    <w:t xml:space="preserve">практическая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подготовка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Самостоятельная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курсовая работа (проект)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контрольная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работа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+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gridSpan w:val="2"/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Промежуточная</w:t>
                  </w:r>
                  <w:r>
                    <w:rPr>
                      <w:color w:val="000000"/>
                      <w:sz w:val="28"/>
                    </w:rPr>
                    <w:t xml:space="preserve"> </w:t>
                  </w:r>
                  <w:r>
                    <w:rPr>
                      <w:color w:val="000000"/>
                      <w:sz w:val="28"/>
                    </w:rPr>
                    <w:t xml:space="preserve">аттестация</w:t>
                  </w:r>
                  <w:r>
                    <w:rPr>
                      <w:color w:val="000000"/>
                      <w:sz w:val="28"/>
                    </w:rPr>
                    <w:t xml:space="preserve">: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8"/>
                    </w:rPr>
                    <w:t xml:space="preserve">     </w:t>
                  </w:r>
                  <w:r>
                    <w:rPr>
                      <w:color w:val="000000"/>
                      <w:sz w:val="28"/>
                    </w:rPr>
                    <w:t xml:space="preserve">зачет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6236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Общая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трудоемкость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401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 xml:space="preserve">72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78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5. СОДЕРЖАНИЕ ДИСЦИПЛИНЫ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  <w:gridCol w:w="2565"/>
              <w:gridCol w:w="943"/>
              <w:gridCol w:w="765"/>
              <w:gridCol w:w="1396"/>
              <w:gridCol w:w="980"/>
              <w:gridCol w:w="942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Что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такое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Россия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Российское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государство-цивилизация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Российское мировоззрение и ценности российской цивилизации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Политическое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устройство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России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Вызовы будущего и развитие страны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20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329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Заочная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форма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обучения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5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1"/>
              <w:gridCol w:w="2565"/>
              <w:gridCol w:w="943"/>
              <w:gridCol w:w="765"/>
              <w:gridCol w:w="1396"/>
              <w:gridCol w:w="980"/>
              <w:gridCol w:w="942"/>
              <w:gridCol w:w="1558"/>
            </w:tblGrid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6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5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Количество часов по видам учебной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4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968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контактная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работа</w:t>
                  </w:r>
                  <w:r>
                    <w:rPr>
                      <w:color w:val="000000"/>
                      <w:sz w:val="24"/>
                    </w:rPr>
                    <w:t xml:space="preserve"> с </w:t>
                  </w:r>
                  <w:r>
                    <w:rPr>
                      <w:color w:val="000000"/>
                      <w:sz w:val="24"/>
                    </w:rPr>
                    <w:t xml:space="preserve">преподавателем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198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семинарского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>
                    <w:rPr>
                      <w:color w:val="000000"/>
                      <w:sz w:val="24"/>
                    </w:rPr>
                    <w:t xml:space="preserve">: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 xml:space="preserve">№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Раздел</w:t>
                  </w:r>
                  <w:r>
                    <w:rPr>
                      <w:color w:val="000000"/>
                      <w:sz w:val="24"/>
                    </w:rPr>
                    <w:t xml:space="preserve"> / </w:t>
                  </w:r>
                  <w:r>
                    <w:rPr>
                      <w:color w:val="000000"/>
                      <w:sz w:val="24"/>
                    </w:rPr>
                    <w:t xml:space="preserve">Тема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ВСЕГО</w:t>
                  </w:r>
                  <w:r/>
                </w:p>
              </w:tc>
              <w:tc>
                <w:tcPr>
                  <w:tcBorders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СР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занятия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лекционного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типа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семи-нарские</w:t>
                  </w:r>
                  <w:r>
                    <w:rPr>
                      <w:color w:val="000000"/>
                      <w:sz w:val="24"/>
                    </w:rPr>
                    <w:t xml:space="preserve">/ </w:t>
                  </w:r>
                  <w:r>
                    <w:rPr>
                      <w:color w:val="000000"/>
                      <w:sz w:val="24"/>
                    </w:rPr>
                    <w:t xml:space="preserve">практи-</w:t>
                  </w:r>
                  <w:r>
                    <w:rPr>
                      <w:color w:val="000000"/>
                      <w:sz w:val="24"/>
                    </w:rPr>
                    <w:t xml:space="preserve">ческие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лабора-торные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консультации, в том числе по курсовой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работе (проекту)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Что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такое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Россия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Российское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государство-цивилизация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Российское мировоззрение и ценности российской цивилизации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Политическое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устройство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России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88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118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Вызовы будущего и развитие страны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курсовой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Промежуточная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аттестация</w:t>
                  </w:r>
                  <w:r>
                    <w:rPr>
                      <w:color w:val="000000"/>
                      <w:sz w:val="24"/>
                    </w:rPr>
                    <w:t xml:space="preserve"> (</w:t>
                  </w:r>
                  <w:r>
                    <w:rPr>
                      <w:color w:val="000000"/>
                      <w:sz w:val="24"/>
                    </w:rPr>
                    <w:t xml:space="preserve">зачет</w:t>
                  </w:r>
                  <w:r>
                    <w:rPr>
                      <w:color w:val="000000"/>
                      <w:sz w:val="24"/>
                    </w:rPr>
                    <w:t xml:space="preserve">)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vAlign w:val="center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 xml:space="preserve">ИТОГО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72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48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6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14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</w:tr>
            <w:tr>
              <w:tblPrEx/>
              <w:trPr>
                <w:trHeight w:val="260"/>
              </w:trPr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368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 xml:space="preserve">практическая подготовка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0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92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64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ОБУЧАЮЩИХСЯ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7"/>
              <w:gridCol w:w="4527"/>
            </w:tblGrid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Темы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дисциплины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Что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такое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Россия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1,3,5,6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,10</w:t>
                  </w: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Российское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государство-цивилизация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4"/>
                    </w:rPr>
                    <w:t xml:space="preserve">3,4,5,6,7</w:t>
                  </w: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Российское мировоззрение и ценности российской цивилизации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1,3,5,6,8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,9,10</w:t>
                  </w: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4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Политическое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устройство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России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 xml:space="preserve">2,3,4,9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,10</w:t>
                  </w: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66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 xml:space="preserve">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Вызовы будущего и развитие страны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527" w:type="dxa"/>
                  <w:textDirection w:val="lrTb"/>
                  <w:noWrap w:val="false"/>
                </w:tcPr>
                <w:p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  <w:sz w:val="24"/>
                    </w:rPr>
                    <w:t xml:space="preserve">1,2,4,8</w:t>
                  </w:r>
                  <w:r>
                    <w:rPr>
                      <w:color w:val="000000"/>
                    </w:rPr>
                  </w:r>
                  <w:r>
                    <w:rPr>
                      <w:color w:val="000000"/>
                    </w:rPr>
                  </w:r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9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7. ОЦЕНОЧНЫЕ МАТЕРИАЛЫ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06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Оценочные материалы для проведения текущего контроля и промежуточной аттестации представлены в Фонде оценочных сре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дств дл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я текущего контроля и промежуточной аттестации.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8. ПЕРЕЧЕНЬ ОСНОВНОЙ И ДОПОЛНИТЕЛЬНОЙ ЛИТЕРАТУРЫ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4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0"/>
              <w:gridCol w:w="9280"/>
            </w:tblGrid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40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Основная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1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учебное пособие /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А.Д.Харичев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А.В.Полосин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А.В.Селезнёва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– Москва: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РАНХиГС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2024. – 448 с.</w:t>
                  </w: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2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учебное пособие для студентов естественно - научных и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инженерно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технических специальностей / авт.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колл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А.П.Шевырёв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В.В.Лапин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С.В.Рогачёв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А.В.Туторский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П.Ю.Уваров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А.А.Ларионов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(иеромонах Родион),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В.С.Бремин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Н.Ю.Пивоваров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О.А.Ефремов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Е.А.Маковецкий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Е.А.Овчинникова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Д.А.Андреев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В.В.Булатова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О.А.Чагадаева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Москва: Издательский дом  «Дело»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РАНХиГС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2023. – 252 с.</w:t>
                  </w: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3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учебное пособие для студентов, изучающих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социогуманитарные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науки /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Т.В.Евгеньева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И.И.Кузнецов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С.В.Переверзев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А.В.Селезнёва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О.Е.Сорокопудова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А.Б.Страхов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А.Р.Боронин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под ред.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С.В.Переверзева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– Москва: Издательский дом «Дело»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РАНХиГС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2023. – 550 с.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319"/>
              </w:trPr>
              <w:tc>
                <w:tcPr>
                  <w:gridSpan w:val="2"/>
                  <w:tcMar>
                    <w:left w:w="40" w:type="dxa"/>
                    <w:top w:w="20" w:type="dxa"/>
                    <w:right w:w="40" w:type="dxa"/>
                    <w:bottom w:w="20" w:type="dxa"/>
                  </w:tcMar>
                  <w:tcW w:w="9640" w:type="dxa"/>
                  <w:textDirection w:val="lrTb"/>
                  <w:noWrap w:val="false"/>
                </w:tcPr>
                <w:p>
                  <w:r>
                    <w:rPr>
                      <w:b/>
                      <w:color w:val="000000"/>
                      <w:sz w:val="28"/>
                    </w:rPr>
                    <w:t xml:space="preserve">Дополнительная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учебная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r>
                    <w:rPr>
                      <w:b/>
                      <w:color w:val="000000"/>
                      <w:sz w:val="28"/>
                    </w:rPr>
                    <w:t xml:space="preserve">литература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4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Алексеева Т.А. Современная политическая мысль (</w:t>
                  </w:r>
                  <w:r>
                    <w:rPr>
                      <w:color w:val="000000"/>
                      <w:sz w:val="28"/>
                    </w:rPr>
                    <w:t xml:space="preserve">XX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XXI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вв.): Политическая теория и международные отношения. – 2-е изд.,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испр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и доп. – М.: Аспект Пресс, 2019. – 623 с.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vk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doc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349187690_634270216.</w:t>
                  </w: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5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Браславский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Р.Г. Эволюция концепции цивилизации в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социоисторической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науке в конце </w:t>
                  </w:r>
                  <w:r>
                    <w:rPr>
                      <w:color w:val="000000"/>
                      <w:sz w:val="28"/>
                    </w:rPr>
                    <w:t xml:space="preserve">XVIII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начале </w:t>
                  </w:r>
                  <w:r>
                    <w:rPr>
                      <w:color w:val="000000"/>
                      <w:sz w:val="28"/>
                    </w:rPr>
                    <w:t xml:space="preserve">XX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века // Журнал социологии и социальной антропологии. – 2022. – Т. 25. – № 2. – С. 49-79. Режим доступа: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hyperlink r:id="rId12" w:tooltip="https://cyberleninka.ru/article/n/evolyutsiya-kontseptsii-tsivilizatsii-v-sotsioistoricheskoy" w:history="1">
                    <w:r>
                      <w:rPr>
                        <w:rStyle w:val="1004"/>
                        <w:color w:val="000000"/>
                        <w:sz w:val="28"/>
                      </w:rPr>
                      <w:t xml:space="preserve">https</w:t>
                    </w:r>
                    <w:r>
                      <w:rPr>
                        <w:rStyle w:val="1004"/>
                        <w:color w:val="000000"/>
                        <w:sz w:val="28"/>
                        <w:lang w:val="ru-RU"/>
                      </w:rPr>
                      <w:t xml:space="preserve">://</w:t>
                    </w:r>
                    <w:r>
                      <w:rPr>
                        <w:rStyle w:val="1004"/>
                        <w:color w:val="000000"/>
                        <w:sz w:val="28"/>
                      </w:rPr>
                      <w:t xml:space="preserve">cyberleninka</w:t>
                    </w:r>
                    <w:r>
                      <w:rPr>
                        <w:rStyle w:val="1004"/>
                        <w:color w:val="000000"/>
                        <w:sz w:val="28"/>
                        <w:lang w:val="ru-RU"/>
                      </w:rPr>
                      <w:t xml:space="preserve">.</w:t>
                    </w:r>
                    <w:r>
                      <w:rPr>
                        <w:rStyle w:val="1004"/>
                        <w:color w:val="000000"/>
                        <w:sz w:val="28"/>
                      </w:rPr>
                      <w:t xml:space="preserve">ru</w:t>
                    </w:r>
                    <w:r>
                      <w:rPr>
                        <w:rStyle w:val="1004"/>
                        <w:color w:val="000000"/>
                        <w:sz w:val="28"/>
                        <w:lang w:val="ru-RU"/>
                      </w:rPr>
                      <w:t xml:space="preserve">/</w:t>
                    </w:r>
                    <w:r>
                      <w:rPr>
                        <w:rStyle w:val="1004"/>
                        <w:color w:val="000000"/>
                        <w:sz w:val="28"/>
                      </w:rPr>
                      <w:t xml:space="preserve">article</w:t>
                    </w:r>
                    <w:r>
                      <w:rPr>
                        <w:rStyle w:val="1004"/>
                        <w:color w:val="000000"/>
                        <w:sz w:val="28"/>
                        <w:lang w:val="ru-RU"/>
                      </w:rPr>
                      <w:t xml:space="preserve">/</w:t>
                    </w:r>
                    <w:r>
                      <w:rPr>
                        <w:rStyle w:val="1004"/>
                        <w:color w:val="000000"/>
                        <w:sz w:val="28"/>
                      </w:rPr>
                      <w:t xml:space="preserve">n</w:t>
                    </w:r>
                    <w:r>
                      <w:rPr>
                        <w:rStyle w:val="1004"/>
                        <w:color w:val="000000"/>
                        <w:sz w:val="28"/>
                        <w:lang w:val="ru-RU"/>
                      </w:rPr>
                      <w:t xml:space="preserve">/</w:t>
                    </w:r>
                    <w:r>
                      <w:rPr>
                        <w:rStyle w:val="1004"/>
                        <w:color w:val="000000"/>
                        <w:sz w:val="28"/>
                      </w:rPr>
                      <w:t xml:space="preserve">evolyutsiya</w:t>
                    </w:r>
                    <w:r>
                      <w:rPr>
                        <w:rStyle w:val="1004"/>
                        <w:color w:val="000000"/>
                        <w:sz w:val="28"/>
                        <w:lang w:val="ru-RU"/>
                      </w:rPr>
                      <w:t xml:space="preserve">-</w:t>
                    </w:r>
                    <w:r>
                      <w:rPr>
                        <w:rStyle w:val="1004"/>
                        <w:color w:val="000000"/>
                        <w:sz w:val="28"/>
                      </w:rPr>
                      <w:t xml:space="preserve">kontseptsii</w:t>
                    </w:r>
                    <w:r>
                      <w:rPr>
                        <w:rStyle w:val="1004"/>
                        <w:color w:val="000000"/>
                        <w:sz w:val="28"/>
                        <w:lang w:val="ru-RU"/>
                      </w:rPr>
                      <w:t xml:space="preserve">-</w:t>
                    </w:r>
                    <w:r>
                      <w:rPr>
                        <w:rStyle w:val="1004"/>
                        <w:color w:val="000000"/>
                        <w:sz w:val="28"/>
                      </w:rPr>
                      <w:t xml:space="preserve">tsivilizatsii</w:t>
                    </w:r>
                    <w:r>
                      <w:rPr>
                        <w:rStyle w:val="1004"/>
                        <w:color w:val="000000"/>
                        <w:sz w:val="28"/>
                        <w:lang w:val="ru-RU"/>
                      </w:rPr>
                      <w:t xml:space="preserve">-</w:t>
                    </w:r>
                    <w:r>
                      <w:rPr>
                        <w:rStyle w:val="1004"/>
                        <w:color w:val="000000"/>
                        <w:sz w:val="28"/>
                      </w:rPr>
                      <w:t xml:space="preserve">v</w:t>
                    </w:r>
                    <w:r>
                      <w:rPr>
                        <w:rStyle w:val="1004"/>
                        <w:color w:val="000000"/>
                        <w:sz w:val="28"/>
                        <w:lang w:val="ru-RU"/>
                      </w:rPr>
                      <w:t xml:space="preserve">-</w:t>
                    </w:r>
                    <w:r>
                      <w:rPr>
                        <w:rStyle w:val="1004"/>
                        <w:color w:val="000000"/>
                        <w:sz w:val="28"/>
                      </w:rPr>
                      <w:t xml:space="preserve">sotsioistoricheskoy</w:t>
                    </w:r>
                  </w:hyperlink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nauke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kontse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xviii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nachale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xx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veka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6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Полосин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А.В. Шаг вперед: проблема мировоззрения в современной России / Вестник Московского Университета. Серия 12. Политические науки. – 2022. – № 3. – С. 7-23.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cyberleninka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article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shag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vpered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r>
                    <w:rPr>
                      <w:color w:val="000000"/>
                      <w:sz w:val="28"/>
                    </w:rPr>
                    <w:t xml:space="preserve">problema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mirovozzreniya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sovremennoy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rossii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7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Российское общество: архитектоника цивилизационного развития: монография / Р.Г.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Браславский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В.В.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Галиндабаева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 др. – М.; СПб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.: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ФНИСЦ РАН, 2021. – 340 с.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socinst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wp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content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uploads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base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books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text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russiansociety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2021.</w:t>
                  </w:r>
                  <w:r>
                    <w:rPr>
                      <w:color w:val="000000"/>
                      <w:sz w:val="28"/>
                    </w:rPr>
                    <w:t xml:space="preserve">pdf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8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Харичев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А.Д., Шутов А.Ю.,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Полосин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А.В., Соколова Е.Н. Восприятие базовых ценностей, факторов и структур социально-исторического развития России (по материалам исследований и апробации) // Журнал политических исследований. – 2022. – Т. 6. – № 3. – С. 9-19. Режим доступа: </w:t>
                  </w:r>
                  <w:r>
                    <w:rPr>
                      <w:color w:val="000000"/>
                      <w:sz w:val="28"/>
                    </w:rPr>
                    <w:t xml:space="preserve">https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://</w:t>
                  </w:r>
                  <w:r>
                    <w:rPr>
                      <w:color w:val="000000"/>
                      <w:sz w:val="28"/>
                    </w:rPr>
                    <w:t xml:space="preserve">naukaru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nauka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article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/53483/</w:t>
                  </w:r>
                  <w:r>
                    <w:rPr>
                      <w:color w:val="000000"/>
                      <w:sz w:val="28"/>
                    </w:rPr>
                    <w:t xml:space="preserve">view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lang w:val="ru-RU"/>
                    </w:rPr>
                  </w:r>
                  <w:r>
                    <w:rPr>
                      <w:color w:val="000000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 xml:space="preserve">9</w:t>
                  </w:r>
                  <w:r/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учебное пособие для студентов, изучающих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социогуманитарные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науки /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Т.В.Евгеньева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И.И.Кузнецов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С.В.Переверзев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А.В.Селезнёва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О.Е.Сорокопудова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А.Б.Страхов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А.Р.Боронин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; под ред.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С.В.Переверзева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– Москва: Издательский дом «Дело»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РАНХиГС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2023. – 550 с.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0" w:type="dxa"/>
                  <w:textDirection w:val="lrTb"/>
                  <w:noWrap w:val="false"/>
                </w:tcPr>
                <w:p>
                  <w:pPr>
                    <w:jc w:val="right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10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</w:tc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420" w:type="dxa"/>
                  <w:textDirection w:val="lrTb"/>
                  <w:noWrap w:val="false"/>
                </w:tcPr>
                <w:p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Основы российской государственности: хрестоматия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/ С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ост.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И.В.Ливанова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Н.В.Цепелева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 Под общ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ед.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Н.В.Цепелевой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– Новосибирск: АНОО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ВО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Центросоюза РФ «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СибУПК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». – Новосибирск, 2025. – 144 с.</w:t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  <w:r>
                    <w:rPr>
                      <w:color w:val="000000"/>
                      <w:sz w:val="28"/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2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9.  СОВРЕМЕННЫЕ ПРОФЕССИОНАЛЬНЫЕ БАЗЫ ДАННЫХ И ИНФОРМАЦИОННЫЕ СПРАВОЧНЫЕ СИСТЕМЫ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1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5"/>
            <w:tcW w:w="9636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«От Руси Древней до Империи Российской»: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-</w:t>
                  </w:r>
                  <w:r>
                    <w:rPr>
                      <w:color w:val="000000"/>
                      <w:sz w:val="28"/>
                    </w:rPr>
                    <w:t xml:space="preserve">hist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on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ufanet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/«Генштаб»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Исторические источники. Библиотека МГУ: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hist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msu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ER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Etext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index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html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Мир энциклопедий: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histori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elibrary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urait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Отечественная история: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lants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tellur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history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Государственной Думы РФ: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duma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gov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Сайт "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философ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.р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у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":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philosoff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ru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rus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philosophy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color w:val="000000"/>
                      <w:sz w:val="28"/>
                    </w:rPr>
                    <w:t xml:space="preserve">history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/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Электронная-библиотечная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 xml:space="preserve">www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znanium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.</w:t>
                  </w:r>
                  <w:r>
                    <w:rPr>
                      <w:color w:val="000000"/>
                      <w:sz w:val="28"/>
                    </w:rPr>
                    <w:t xml:space="preserve">com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94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10. ПЕРЕЧЕНЬ ЛИЦЕНЗИОННОГО И СВОБОДНО РАСПРОСТРАНЯЕМОГО ПРОГРАММНОГО ОБЕСПЕЧЕНИЯ, В ТОМ ЧИСЛЕ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8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/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1"/>
            </w:tblGrid>
            <w:tr>
              <w:tblPrEx/>
              <w:trPr>
                <w:trHeight w:val="260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314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Комплект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лицензионного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t xml:space="preserve">программного</w:t>
                  </w:r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  <w:r/>
                </w:p>
              </w:tc>
              <w:tc>
                <w:tcPr>
                  <w:gridSpan w:val="2"/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4731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распространяемого программного обеспечения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60"/>
              </w:trPr>
              <w:tc>
                <w:tcPr>
                  <w:tcBorders>
                    <w:lef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№</w:t>
                  </w:r>
                  <w:r>
                    <w:rPr>
                      <w:color w:val="000000"/>
                      <w:sz w:val="24"/>
                    </w:rPr>
                    <w:br/>
                    <w:t xml:space="preserve">п/п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лицензионное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свободно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распространяемое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программное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обеспечение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отечественного производства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1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Office 365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Антивирус</w:t>
                  </w:r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r>
                    <w:rPr>
                      <w:color w:val="000000"/>
                      <w:sz w:val="24"/>
                    </w:rPr>
                    <w:t xml:space="preserve">для</w:t>
                  </w:r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 xml:space="preserve">бизнеса</w:t>
                  </w:r>
                  <w:r>
                    <w:rPr>
                      <w:color w:val="000000"/>
                      <w:sz w:val="24"/>
                    </w:rPr>
                    <w:t xml:space="preserve"> – </w:t>
                  </w:r>
                  <w:r>
                    <w:rPr>
                      <w:color w:val="000000"/>
                      <w:sz w:val="24"/>
                    </w:rPr>
                    <w:t xml:space="preserve">Стандартный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Adobe Acrobat Reader DC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Яндекс.Браузер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2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Microsoft Word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Гарант"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Архиватор</w:t>
                  </w:r>
                  <w:r>
                    <w:rPr>
                      <w:color w:val="000000"/>
                      <w:sz w:val="24"/>
                    </w:rPr>
                    <w:t xml:space="preserve"> 7z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r>
                    <w:rPr>
                      <w:color w:val="000000"/>
                      <w:sz w:val="24"/>
                    </w:rPr>
                    <w:t xml:space="preserve">Яндекс.Диск</w:t>
                  </w:r>
                  <w:r/>
                </w:p>
              </w:tc>
            </w:tr>
            <w:tr>
              <w:tblPrEx/>
              <w:trPr>
                <w:trHeight w:val="279"/>
              </w:trPr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590" w:type="dxa"/>
                  <w:vAlign w:val="center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 xml:space="preserve">3</w:t>
                  </w:r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09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1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Электронный периодический справочник "Система Консультант Плюс"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276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  <w:tc>
                <w:tcPr>
                  <w:tcBorders>
                    <w:top w:val="single" w:color="000000" w:sz="8" w:space="0"/>
                    <w:left w:val="single" w:color="000000" w:sz="8" w:space="0"/>
                    <w:bottom w:val="single" w:color="000000" w:sz="8" w:space="0"/>
                    <w:right w:val="single" w:color="000000" w:sz="8" w:space="0"/>
                  </w:tcBorders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2455" w:type="dxa"/>
                  <w:textDirection w:val="lrTb"/>
                  <w:noWrap w:val="false"/>
                </w:tcPr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271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 xml:space="preserve">11. МАТЕРИАЛЬНО-ТЕХНИЧЕСКОЕ ОБЕСПЕЧЕНИЕ</w:t>
                  </w:r>
                  <w:r/>
                </w:p>
              </w:tc>
            </w:tr>
          </w:tbl>
          <w:p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120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</w:tr>
      <w:tr>
        <w:tblPrEx/>
        <w:trPr>
          <w:trHeight w:val="425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</w:pPr>
            <w:r/>
            <w:r/>
          </w:p>
        </w:tc>
        <w:tc>
          <w:tcPr>
            <w:gridSpan w:val="6"/>
            <w:tcW w:w="9637" w:type="dxa"/>
            <w:textDirection w:val="lrTb"/>
            <w:noWrap w:val="false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>
              <w:tblPrEx/>
              <w:trPr>
                <w:trHeight w:val="345"/>
              </w:trPr>
              <w:tc>
                <w:tcPr>
                  <w:tcMar>
                    <w:left w:w="40" w:type="dxa"/>
                    <w:top w:w="40" w:type="dxa"/>
                    <w:right w:w="40" w:type="dxa"/>
                    <w:bottom w:w="40" w:type="dxa"/>
                  </w:tcMar>
                  <w:tcW w:w="9637" w:type="dxa"/>
                  <w:textDirection w:val="lrTb"/>
                  <w:noWrap w:val="false"/>
                </w:tcPr>
                <w:p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учебных занятий, предусмотренных программой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бакалавриата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, оснащенные оборудованием и техническими средствами обучения.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spacing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университета.</w:t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  <w:p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  <w:r>
                    <w:rPr>
                      <w:lang w:val="ru-RU"/>
                    </w:rPr>
                  </w:r>
                </w:p>
              </w:tc>
            </w:tr>
          </w:tbl>
          <w:p>
            <w:pPr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  <w:tr>
        <w:tblPrEx/>
        <w:trPr>
          <w:trHeight w:val="1268"/>
        </w:trPr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240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157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1144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72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W w:w="283" w:type="dxa"/>
            <w:textDirection w:val="lrTb"/>
            <w:noWrap w:val="false"/>
          </w:tcPr>
          <w:p>
            <w:pPr>
              <w:pStyle w:val="1005"/>
              <w:rPr>
                <w:lang w:val="ru-RU"/>
              </w:rPr>
            </w:pPr>
            <w:r>
              <w:rPr>
                <w:lang w:val="ru-RU"/>
              </w:rPr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</w:tr>
    </w:tbl>
    <w:p>
      <w:pPr>
        <w:rPr>
          <w:lang w:val="ru-RU"/>
        </w:rPr>
      </w:pPr>
      <w:r>
        <w:rPr>
          <w:lang w:val="ru-RU"/>
        </w:rPr>
      </w:r>
      <w:r>
        <w:rPr>
          <w:lang w:val="ru-RU"/>
        </w:rPr>
      </w:r>
      <w:r>
        <w:rPr>
          <w:lang w:val="ru-RU"/>
        </w:rPr>
      </w:r>
    </w:p>
    <w:sectPr>
      <w:footerReference w:type="default" r:id="rId8"/>
      <w:footerReference w:type="first" r:id="rId9"/>
      <w:footnotePr/>
      <w:endnotePr/>
      <w:type w:val="nextPage"/>
      <w:pgSz w:w="12179" w:h="16837" w:orient="portrait"/>
      <w:pgMar w:top="1133" w:right="850" w:bottom="992" w:left="1360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</w:tbl>
  <w:p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  <w:tr>
      <w:tblPrEx/>
      <w:trPr/>
      <w:tc>
        <w:tcPr>
          <w:tcW w:w="8796" w:type="dxa"/>
          <w:textDirection w:val="lrTb"/>
          <w:noWrap w:val="false"/>
        </w:tcPr>
        <w:p>
          <w:pPr>
            <w:pStyle w:val="1005"/>
          </w:pPr>
          <w:r/>
          <w:r/>
        </w:p>
      </w:tc>
      <w:tc>
        <w:tcPr>
          <w:tcW w:w="708" w:type="dxa"/>
          <w:textDirection w:val="lrTb"/>
          <w:noWrap w:val="false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>
            <w:tblPrEx/>
            <w:trPr>
              <w:trHeight w:val="345"/>
            </w:trPr>
            <w:tc>
              <w:tcPr>
                <w:tcMar>
                  <w:left w:w="40" w:type="dxa"/>
                  <w:top w:w="40" w:type="dxa"/>
                  <w:right w:w="40" w:type="dxa"/>
                  <w:bottom w:w="40" w:type="dxa"/>
                </w:tcMar>
                <w:tcW w:w="708" w:type="dxa"/>
                <w:textDirection w:val="lrTb"/>
                <w:noWrap w:val="false"/>
              </w:tcPr>
              <w:p>
                <w:r/>
                <w:r/>
              </w:p>
            </w:tc>
          </w:tr>
        </w:tbl>
        <w:p>
          <w:r/>
          <w:r/>
        </w:p>
      </w:tc>
      <w:tc>
        <w:tcPr>
          <w:tcW w:w="463" w:type="dxa"/>
          <w:textDirection w:val="lrTb"/>
          <w:noWrap w:val="false"/>
        </w:tcPr>
        <w:p>
          <w:pPr>
            <w:pStyle w:val="1005"/>
          </w:pPr>
          <w:r/>
          <w:r/>
        </w:p>
      </w:tc>
    </w:tr>
  </w:tbl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4">
    <w:name w:val="Heading 1"/>
    <w:basedOn w:val="1000"/>
    <w:next w:val="1000"/>
    <w:link w:val="82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25">
    <w:name w:val="Heading 1 Char"/>
    <w:basedOn w:val="1001"/>
    <w:link w:val="824"/>
    <w:uiPriority w:val="9"/>
    <w:rPr>
      <w:rFonts w:ascii="Arial" w:hAnsi="Arial" w:eastAsia="Arial" w:cs="Arial"/>
      <w:sz w:val="40"/>
      <w:szCs w:val="40"/>
    </w:rPr>
  </w:style>
  <w:style w:type="paragraph" w:styleId="826">
    <w:name w:val="Heading 2"/>
    <w:basedOn w:val="1000"/>
    <w:next w:val="1000"/>
    <w:link w:val="82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27">
    <w:name w:val="Heading 2 Char"/>
    <w:basedOn w:val="1001"/>
    <w:link w:val="826"/>
    <w:uiPriority w:val="9"/>
    <w:rPr>
      <w:rFonts w:ascii="Arial" w:hAnsi="Arial" w:eastAsia="Arial" w:cs="Arial"/>
      <w:sz w:val="34"/>
    </w:rPr>
  </w:style>
  <w:style w:type="paragraph" w:styleId="828">
    <w:name w:val="Heading 3"/>
    <w:basedOn w:val="1000"/>
    <w:next w:val="1000"/>
    <w:link w:val="82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29">
    <w:name w:val="Heading 3 Char"/>
    <w:basedOn w:val="1001"/>
    <w:link w:val="828"/>
    <w:uiPriority w:val="9"/>
    <w:rPr>
      <w:rFonts w:ascii="Arial" w:hAnsi="Arial" w:eastAsia="Arial" w:cs="Arial"/>
      <w:sz w:val="30"/>
      <w:szCs w:val="30"/>
    </w:rPr>
  </w:style>
  <w:style w:type="paragraph" w:styleId="830">
    <w:name w:val="Heading 4"/>
    <w:basedOn w:val="1000"/>
    <w:next w:val="1000"/>
    <w:link w:val="83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31">
    <w:name w:val="Heading 4 Char"/>
    <w:basedOn w:val="1001"/>
    <w:link w:val="830"/>
    <w:uiPriority w:val="9"/>
    <w:rPr>
      <w:rFonts w:ascii="Arial" w:hAnsi="Arial" w:eastAsia="Arial" w:cs="Arial"/>
      <w:b/>
      <w:bCs/>
      <w:sz w:val="26"/>
      <w:szCs w:val="26"/>
    </w:rPr>
  </w:style>
  <w:style w:type="paragraph" w:styleId="832">
    <w:name w:val="Heading 5"/>
    <w:basedOn w:val="1000"/>
    <w:next w:val="1000"/>
    <w:link w:val="83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33">
    <w:name w:val="Heading 5 Char"/>
    <w:basedOn w:val="1001"/>
    <w:link w:val="832"/>
    <w:uiPriority w:val="9"/>
    <w:rPr>
      <w:rFonts w:ascii="Arial" w:hAnsi="Arial" w:eastAsia="Arial" w:cs="Arial"/>
      <w:b/>
      <w:bCs/>
      <w:sz w:val="24"/>
      <w:szCs w:val="24"/>
    </w:rPr>
  </w:style>
  <w:style w:type="paragraph" w:styleId="834">
    <w:name w:val="Heading 6"/>
    <w:basedOn w:val="1000"/>
    <w:next w:val="1000"/>
    <w:link w:val="83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35">
    <w:name w:val="Heading 6 Char"/>
    <w:basedOn w:val="1001"/>
    <w:link w:val="834"/>
    <w:uiPriority w:val="9"/>
    <w:rPr>
      <w:rFonts w:ascii="Arial" w:hAnsi="Arial" w:eastAsia="Arial" w:cs="Arial"/>
      <w:b/>
      <w:bCs/>
      <w:sz w:val="22"/>
      <w:szCs w:val="22"/>
    </w:rPr>
  </w:style>
  <w:style w:type="paragraph" w:styleId="836">
    <w:name w:val="Heading 7"/>
    <w:basedOn w:val="1000"/>
    <w:next w:val="1000"/>
    <w:link w:val="83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37">
    <w:name w:val="Heading 7 Char"/>
    <w:basedOn w:val="1001"/>
    <w:link w:val="83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38">
    <w:name w:val="Heading 8"/>
    <w:basedOn w:val="1000"/>
    <w:next w:val="1000"/>
    <w:link w:val="83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39">
    <w:name w:val="Heading 8 Char"/>
    <w:basedOn w:val="1001"/>
    <w:link w:val="838"/>
    <w:uiPriority w:val="9"/>
    <w:rPr>
      <w:rFonts w:ascii="Arial" w:hAnsi="Arial" w:eastAsia="Arial" w:cs="Arial"/>
      <w:i/>
      <w:iCs/>
      <w:sz w:val="22"/>
      <w:szCs w:val="22"/>
    </w:rPr>
  </w:style>
  <w:style w:type="paragraph" w:styleId="840">
    <w:name w:val="Heading 9"/>
    <w:basedOn w:val="1000"/>
    <w:next w:val="1000"/>
    <w:link w:val="84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41">
    <w:name w:val="Heading 9 Char"/>
    <w:basedOn w:val="1001"/>
    <w:link w:val="840"/>
    <w:uiPriority w:val="9"/>
    <w:rPr>
      <w:rFonts w:ascii="Arial" w:hAnsi="Arial" w:eastAsia="Arial" w:cs="Arial"/>
      <w:i/>
      <w:iCs/>
      <w:sz w:val="21"/>
      <w:szCs w:val="21"/>
    </w:rPr>
  </w:style>
  <w:style w:type="paragraph" w:styleId="842">
    <w:name w:val="List Paragraph"/>
    <w:basedOn w:val="1000"/>
    <w:uiPriority w:val="34"/>
    <w:qFormat/>
    <w:pPr>
      <w:contextualSpacing/>
      <w:ind w:left="720"/>
    </w:pPr>
  </w:style>
  <w:style w:type="paragraph" w:styleId="843">
    <w:name w:val="No Spacing"/>
    <w:uiPriority w:val="1"/>
    <w:qFormat/>
    <w:pPr>
      <w:spacing w:before="0" w:after="0" w:line="240" w:lineRule="auto"/>
    </w:pPr>
  </w:style>
  <w:style w:type="paragraph" w:styleId="844">
    <w:name w:val="Title"/>
    <w:basedOn w:val="1000"/>
    <w:next w:val="1000"/>
    <w:link w:val="84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45">
    <w:name w:val="Title Char"/>
    <w:basedOn w:val="1001"/>
    <w:link w:val="844"/>
    <w:uiPriority w:val="10"/>
    <w:rPr>
      <w:sz w:val="48"/>
      <w:szCs w:val="48"/>
    </w:rPr>
  </w:style>
  <w:style w:type="paragraph" w:styleId="846">
    <w:name w:val="Subtitle"/>
    <w:basedOn w:val="1000"/>
    <w:next w:val="1000"/>
    <w:link w:val="847"/>
    <w:uiPriority w:val="11"/>
    <w:qFormat/>
    <w:pPr>
      <w:spacing w:before="200" w:after="200"/>
    </w:pPr>
    <w:rPr>
      <w:sz w:val="24"/>
      <w:szCs w:val="24"/>
    </w:rPr>
  </w:style>
  <w:style w:type="character" w:styleId="847">
    <w:name w:val="Subtitle Char"/>
    <w:basedOn w:val="1001"/>
    <w:link w:val="846"/>
    <w:uiPriority w:val="11"/>
    <w:rPr>
      <w:sz w:val="24"/>
      <w:szCs w:val="24"/>
    </w:rPr>
  </w:style>
  <w:style w:type="paragraph" w:styleId="848">
    <w:name w:val="Quote"/>
    <w:basedOn w:val="1000"/>
    <w:next w:val="1000"/>
    <w:link w:val="849"/>
    <w:uiPriority w:val="29"/>
    <w:qFormat/>
    <w:pPr>
      <w:ind w:left="720" w:right="720"/>
    </w:pPr>
    <w:rPr>
      <w:i/>
    </w:rPr>
  </w:style>
  <w:style w:type="character" w:styleId="849">
    <w:name w:val="Quote Char"/>
    <w:link w:val="848"/>
    <w:uiPriority w:val="29"/>
    <w:rPr>
      <w:i/>
    </w:rPr>
  </w:style>
  <w:style w:type="paragraph" w:styleId="850">
    <w:name w:val="Intense Quote"/>
    <w:basedOn w:val="1000"/>
    <w:next w:val="1000"/>
    <w:link w:val="85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1">
    <w:name w:val="Intense Quote Char"/>
    <w:link w:val="850"/>
    <w:uiPriority w:val="30"/>
    <w:rPr>
      <w:i/>
    </w:rPr>
  </w:style>
  <w:style w:type="paragraph" w:styleId="852">
    <w:name w:val="Header"/>
    <w:basedOn w:val="1000"/>
    <w:link w:val="85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3">
    <w:name w:val="Header Char"/>
    <w:basedOn w:val="1001"/>
    <w:link w:val="852"/>
    <w:uiPriority w:val="99"/>
  </w:style>
  <w:style w:type="paragraph" w:styleId="854">
    <w:name w:val="Footer"/>
    <w:basedOn w:val="1000"/>
    <w:link w:val="85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855">
    <w:name w:val="Footer Char"/>
    <w:basedOn w:val="1001"/>
    <w:link w:val="854"/>
    <w:uiPriority w:val="99"/>
  </w:style>
  <w:style w:type="paragraph" w:styleId="856">
    <w:name w:val="Caption"/>
    <w:basedOn w:val="1000"/>
    <w:next w:val="1000"/>
    <w:link w:val="85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57">
    <w:name w:val="Caption Char"/>
    <w:basedOn w:val="1001"/>
    <w:link w:val="856"/>
    <w:uiPriority w:val="35"/>
    <w:rPr>
      <w:b/>
      <w:bCs/>
      <w:color w:val="4f81bd" w:themeColor="accent1"/>
      <w:sz w:val="18"/>
      <w:szCs w:val="18"/>
    </w:rPr>
  </w:style>
  <w:style w:type="table" w:styleId="858">
    <w:name w:val="Table Grid Light"/>
    <w:basedOn w:val="10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59">
    <w:name w:val="Plain Table 1"/>
    <w:basedOn w:val="10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0">
    <w:name w:val="Plain Table 2"/>
    <w:basedOn w:val="10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1">
    <w:name w:val="Plain Table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2">
    <w:name w:val="Plain Table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Plain Table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4">
    <w:name w:val="Grid Table 1 Light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Grid Table 1 Light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Grid Table 1 Light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Grid Table 1 Light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Grid Table 1 Light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Grid Table 1 Light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Grid Table 1 Light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Grid Table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Grid Table 2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Grid Table 2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>
    <w:name w:val="Grid Table 2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>
    <w:name w:val="Grid Table 2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>
    <w:name w:val="Grid Table 2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>
    <w:name w:val="Grid Table 2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>
    <w:name w:val="Grid Table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>
    <w:name w:val="Grid Table 3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>
    <w:name w:val="Grid Table 3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>
    <w:name w:val="Grid Table 3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>
    <w:name w:val="Grid Table 3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>
    <w:name w:val="Grid Table 3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>
    <w:name w:val="Grid Table 3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>
    <w:name w:val="Grid Table 4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6">
    <w:name w:val="Grid Table 4 - Accent 1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87">
    <w:name w:val="Grid Table 4 - Accent 2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88">
    <w:name w:val="Grid Table 4 - Accent 3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89">
    <w:name w:val="Grid Table 4 - Accent 4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90">
    <w:name w:val="Grid Table 4 - Accent 5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91">
    <w:name w:val="Grid Table 4 - Accent 6"/>
    <w:basedOn w:val="10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92">
    <w:name w:val="Grid Table 5 Dark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93">
    <w:name w:val="Grid Table 5 Dark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94">
    <w:name w:val="Grid Table 5 Dark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95">
    <w:name w:val="Grid Table 5 Dark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96">
    <w:name w:val="Grid Table 5 Dark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7">
    <w:name w:val="Grid Table 5 Dark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8">
    <w:name w:val="Grid Table 5 Dark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9">
    <w:name w:val="Grid Table 6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0">
    <w:name w:val="Grid Table 6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1">
    <w:name w:val="Grid Table 6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02">
    <w:name w:val="Grid Table 6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03">
    <w:name w:val="Grid Table 6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04">
    <w:name w:val="Grid Table 6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5">
    <w:name w:val="Grid Table 6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06">
    <w:name w:val="Grid Table 7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7">
    <w:name w:val="Grid Table 7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8">
    <w:name w:val="Grid Table 7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9">
    <w:name w:val="Grid Table 7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>
    <w:name w:val="Grid Table 7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>
    <w:name w:val="Grid Table 7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>
    <w:name w:val="Grid Table 7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>
    <w:name w:val="List Table 1 Light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>
    <w:name w:val="List Table 1 Light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>
    <w:name w:val="List Table 1 Light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>
    <w:name w:val="List Table 1 Light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>
    <w:name w:val="List Table 1 Light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>
    <w:name w:val="List Table 1 Light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>
    <w:name w:val="List Table 1 Light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>
    <w:name w:val="List Table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21">
    <w:name w:val="List Table 2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22">
    <w:name w:val="List Table 2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23">
    <w:name w:val="List Table 2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24">
    <w:name w:val="List Table 2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25">
    <w:name w:val="List Table 2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26">
    <w:name w:val="List Table 2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27">
    <w:name w:val="List Table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List Table 3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List Table 3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List Table 3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>
    <w:name w:val="List Table 3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>
    <w:name w:val="List Table 3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>
    <w:name w:val="List Table 3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>
    <w:name w:val="List Table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>
    <w:name w:val="List Table 4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>
    <w:name w:val="List Table 4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>
    <w:name w:val="List Table 4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>
    <w:name w:val="List Table 4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>
    <w:name w:val="List Table 4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>
    <w:name w:val="List Table 4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>
    <w:name w:val="List Table 5 Dark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2">
    <w:name w:val="List Table 5 Dark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3">
    <w:name w:val="List Table 5 Dark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4">
    <w:name w:val="List Table 5 Dark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5">
    <w:name w:val="List Table 5 Dark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6">
    <w:name w:val="List Table 5 Dark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7">
    <w:name w:val="List Table 5 Dark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48">
    <w:name w:val="List Table 6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49">
    <w:name w:val="List Table 6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50">
    <w:name w:val="List Table 6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51">
    <w:name w:val="List Table 6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52">
    <w:name w:val="List Table 6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53">
    <w:name w:val="List Table 6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54">
    <w:name w:val="List Table 6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55">
    <w:name w:val="List Table 7 Colorful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56">
    <w:name w:val="List Table 7 Colorful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957">
    <w:name w:val="List Table 7 Colorful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958">
    <w:name w:val="List Table 7 Colorful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959">
    <w:name w:val="List Table 7 Colorful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960">
    <w:name w:val="List Table 7 Colorful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61">
    <w:name w:val="List Table 7 Colorful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62">
    <w:name w:val="Lined - Accent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63">
    <w:name w:val="Lined - Accent 1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64">
    <w:name w:val="Lined - Accent 2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65">
    <w:name w:val="Lined - Accent 3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66">
    <w:name w:val="Lined - Accent 4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67">
    <w:name w:val="Lined - Accent 5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68">
    <w:name w:val="Lined - Accent 6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69">
    <w:name w:val="Bordered &amp; Lined - Accent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70">
    <w:name w:val="Bordered &amp; Lined - Accent 1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71">
    <w:name w:val="Bordered &amp; Lined - Accent 2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72">
    <w:name w:val="Bordered &amp; Lined - Accent 3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73">
    <w:name w:val="Bordered &amp; Lined - Accent 4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74">
    <w:name w:val="Bordered &amp; Lined - Accent 5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75">
    <w:name w:val="Bordered &amp; Lined - Accent 6"/>
    <w:basedOn w:val="10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76">
    <w:name w:val="Bordered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77">
    <w:name w:val="Bordered - Accent 1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78">
    <w:name w:val="Bordered - Accent 2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79">
    <w:name w:val="Bordered - Accent 3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80">
    <w:name w:val="Bordered - Accent 4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81">
    <w:name w:val="Bordered - Accent 5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82">
    <w:name w:val="Bordered - Accent 6"/>
    <w:basedOn w:val="10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83">
    <w:name w:val="footnote text"/>
    <w:basedOn w:val="1000"/>
    <w:link w:val="984"/>
    <w:uiPriority w:val="99"/>
    <w:semiHidden/>
    <w:unhideWhenUsed/>
    <w:pPr>
      <w:spacing w:after="40" w:line="240" w:lineRule="auto"/>
    </w:pPr>
    <w:rPr>
      <w:sz w:val="18"/>
    </w:rPr>
  </w:style>
  <w:style w:type="character" w:styleId="984">
    <w:name w:val="Footnote Text Char"/>
    <w:link w:val="983"/>
    <w:uiPriority w:val="99"/>
    <w:rPr>
      <w:sz w:val="18"/>
    </w:rPr>
  </w:style>
  <w:style w:type="character" w:styleId="985">
    <w:name w:val="footnote reference"/>
    <w:basedOn w:val="1001"/>
    <w:uiPriority w:val="99"/>
    <w:unhideWhenUsed/>
    <w:rPr>
      <w:vertAlign w:val="superscript"/>
    </w:rPr>
  </w:style>
  <w:style w:type="paragraph" w:styleId="986">
    <w:name w:val="endnote text"/>
    <w:basedOn w:val="1000"/>
    <w:link w:val="987"/>
    <w:uiPriority w:val="99"/>
    <w:semiHidden/>
    <w:unhideWhenUsed/>
    <w:pPr>
      <w:spacing w:after="0" w:line="240" w:lineRule="auto"/>
    </w:pPr>
    <w:rPr>
      <w:sz w:val="20"/>
    </w:rPr>
  </w:style>
  <w:style w:type="character" w:styleId="987">
    <w:name w:val="Endnote Text Char"/>
    <w:link w:val="986"/>
    <w:uiPriority w:val="99"/>
    <w:rPr>
      <w:sz w:val="20"/>
    </w:rPr>
  </w:style>
  <w:style w:type="character" w:styleId="988">
    <w:name w:val="endnote reference"/>
    <w:basedOn w:val="1001"/>
    <w:uiPriority w:val="99"/>
    <w:semiHidden/>
    <w:unhideWhenUsed/>
    <w:rPr>
      <w:vertAlign w:val="superscript"/>
    </w:rPr>
  </w:style>
  <w:style w:type="paragraph" w:styleId="989">
    <w:name w:val="toc 1"/>
    <w:basedOn w:val="1000"/>
    <w:next w:val="1000"/>
    <w:uiPriority w:val="39"/>
    <w:unhideWhenUsed/>
    <w:pPr>
      <w:ind w:left="0" w:right="0" w:firstLine="0"/>
      <w:spacing w:after="57"/>
    </w:pPr>
  </w:style>
  <w:style w:type="paragraph" w:styleId="990">
    <w:name w:val="toc 2"/>
    <w:basedOn w:val="1000"/>
    <w:next w:val="1000"/>
    <w:uiPriority w:val="39"/>
    <w:unhideWhenUsed/>
    <w:pPr>
      <w:ind w:left="283" w:right="0" w:firstLine="0"/>
      <w:spacing w:after="57"/>
    </w:pPr>
  </w:style>
  <w:style w:type="paragraph" w:styleId="991">
    <w:name w:val="toc 3"/>
    <w:basedOn w:val="1000"/>
    <w:next w:val="1000"/>
    <w:uiPriority w:val="39"/>
    <w:unhideWhenUsed/>
    <w:pPr>
      <w:ind w:left="567" w:right="0" w:firstLine="0"/>
      <w:spacing w:after="57"/>
    </w:pPr>
  </w:style>
  <w:style w:type="paragraph" w:styleId="992">
    <w:name w:val="toc 4"/>
    <w:basedOn w:val="1000"/>
    <w:next w:val="1000"/>
    <w:uiPriority w:val="39"/>
    <w:unhideWhenUsed/>
    <w:pPr>
      <w:ind w:left="850" w:right="0" w:firstLine="0"/>
      <w:spacing w:after="57"/>
    </w:pPr>
  </w:style>
  <w:style w:type="paragraph" w:styleId="993">
    <w:name w:val="toc 5"/>
    <w:basedOn w:val="1000"/>
    <w:next w:val="1000"/>
    <w:uiPriority w:val="39"/>
    <w:unhideWhenUsed/>
    <w:pPr>
      <w:ind w:left="1134" w:right="0" w:firstLine="0"/>
      <w:spacing w:after="57"/>
    </w:pPr>
  </w:style>
  <w:style w:type="paragraph" w:styleId="994">
    <w:name w:val="toc 6"/>
    <w:basedOn w:val="1000"/>
    <w:next w:val="1000"/>
    <w:uiPriority w:val="39"/>
    <w:unhideWhenUsed/>
    <w:pPr>
      <w:ind w:left="1417" w:right="0" w:firstLine="0"/>
      <w:spacing w:after="57"/>
    </w:pPr>
  </w:style>
  <w:style w:type="paragraph" w:styleId="995">
    <w:name w:val="toc 7"/>
    <w:basedOn w:val="1000"/>
    <w:next w:val="1000"/>
    <w:uiPriority w:val="39"/>
    <w:unhideWhenUsed/>
    <w:pPr>
      <w:ind w:left="1701" w:right="0" w:firstLine="0"/>
      <w:spacing w:after="57"/>
    </w:pPr>
  </w:style>
  <w:style w:type="paragraph" w:styleId="996">
    <w:name w:val="toc 8"/>
    <w:basedOn w:val="1000"/>
    <w:next w:val="1000"/>
    <w:uiPriority w:val="39"/>
    <w:unhideWhenUsed/>
    <w:pPr>
      <w:ind w:left="1984" w:right="0" w:firstLine="0"/>
      <w:spacing w:after="57"/>
    </w:pPr>
  </w:style>
  <w:style w:type="paragraph" w:styleId="997">
    <w:name w:val="toc 9"/>
    <w:basedOn w:val="1000"/>
    <w:next w:val="1000"/>
    <w:uiPriority w:val="39"/>
    <w:unhideWhenUsed/>
    <w:pPr>
      <w:ind w:left="2268" w:right="0" w:firstLine="0"/>
      <w:spacing w:after="57"/>
    </w:pPr>
  </w:style>
  <w:style w:type="paragraph" w:styleId="998">
    <w:name w:val="TOC Heading"/>
    <w:uiPriority w:val="39"/>
    <w:unhideWhenUsed/>
  </w:style>
  <w:style w:type="paragraph" w:styleId="999">
    <w:name w:val="table of figures"/>
    <w:basedOn w:val="1000"/>
    <w:next w:val="1000"/>
    <w:uiPriority w:val="99"/>
    <w:unhideWhenUsed/>
    <w:pPr>
      <w:spacing w:after="0" w:afterAutospacing="0"/>
    </w:pPr>
  </w:style>
  <w:style w:type="paragraph" w:styleId="1000" w:default="1">
    <w:name w:val="Normal"/>
    <w:qFormat/>
    <w:rPr>
      <w:lang w:val="en-US" w:eastAsia="en-US"/>
    </w:rPr>
  </w:style>
  <w:style w:type="character" w:styleId="1001" w:default="1">
    <w:name w:val="Default Paragraph Font"/>
    <w:uiPriority w:val="1"/>
    <w:semiHidden/>
    <w:unhideWhenUsed/>
  </w:style>
  <w:style w:type="table" w:styleId="10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03" w:default="1">
    <w:name w:val="No List"/>
    <w:uiPriority w:val="99"/>
    <w:semiHidden/>
    <w:unhideWhenUsed/>
  </w:style>
  <w:style w:type="character" w:styleId="1004">
    <w:name w:val="Hyperlink"/>
    <w:uiPriority w:val="99"/>
    <w:unhideWhenUsed/>
    <w:rPr>
      <w:color w:val="0000ff"/>
      <w:u w:val="single"/>
    </w:rPr>
  </w:style>
  <w:style w:type="paragraph" w:styleId="1005" w:customStyle="1">
    <w:name w:val="EmptyLayoutCell"/>
    <w:basedOn w:val="1000"/>
    <w:rPr>
      <w:sz w:val="2"/>
    </w:rPr>
  </w:style>
  <w:style w:type="table" w:styleId="1006">
    <w:name w:val="Table Grid"/>
    <w:basedOn w:val="1002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1007">
    <w:name w:val="Balloon Text"/>
    <w:basedOn w:val="1000"/>
    <w:link w:val="1008"/>
    <w:uiPriority w:val="99"/>
    <w:semiHidden/>
    <w:unhideWhenUsed/>
    <w:rPr>
      <w:rFonts w:ascii="Tahoma" w:hAnsi="Tahoma" w:cs="Tahoma"/>
      <w:sz w:val="16"/>
      <w:szCs w:val="16"/>
    </w:rPr>
  </w:style>
  <w:style w:type="character" w:styleId="1008" w:customStyle="1">
    <w:name w:val="Текст выноски Знак"/>
    <w:basedOn w:val="1001"/>
    <w:link w:val="1007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footer" Target="footer2.xml" 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hyperlink" Target="https://cyberleninka.ru/article/n/evolyutsiya-kontseptsii-tsivilizatsii-v-sotsioistoricheskoy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Ирина Колдунова</cp:lastModifiedBy>
  <cp:revision>7</cp:revision>
  <dcterms:created xsi:type="dcterms:W3CDTF">2025-06-03T04:38:00Z</dcterms:created>
  <dcterms:modified xsi:type="dcterms:W3CDTF">2026-04-18T03:44:42Z</dcterms:modified>
</cp:coreProperties>
</file>